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09" w:rsidRDefault="00840A09" w:rsidP="0010690E">
      <w:pPr>
        <w:spacing w:after="0"/>
        <w:ind w:left="-142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noProof/>
          <w:sz w:val="28"/>
          <w:lang w:eastAsia="cs-CZ"/>
        </w:rPr>
        <w:drawing>
          <wp:inline distT="0" distB="0" distL="0" distR="0">
            <wp:extent cx="1771650" cy="87709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GP-lg_METODICKE CENTR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446" cy="91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A09" w:rsidRDefault="00840A09" w:rsidP="00840A09">
      <w:pPr>
        <w:spacing w:after="0"/>
        <w:ind w:left="-851"/>
        <w:jc w:val="center"/>
        <w:rPr>
          <w:rFonts w:ascii="Tahoma" w:hAnsi="Tahoma" w:cs="Tahoma"/>
          <w:b/>
          <w:sz w:val="28"/>
        </w:rPr>
      </w:pPr>
    </w:p>
    <w:p w:rsidR="00596EA4" w:rsidRPr="00AD0759" w:rsidRDefault="00840A09" w:rsidP="00AD0759">
      <w:pPr>
        <w:spacing w:after="0"/>
        <w:rPr>
          <w:rFonts w:cs="Arial"/>
          <w:b/>
          <w:sz w:val="24"/>
        </w:rPr>
      </w:pPr>
      <w:r w:rsidRPr="00AD0759">
        <w:rPr>
          <w:rFonts w:cs="Arial"/>
          <w:b/>
          <w:sz w:val="24"/>
        </w:rPr>
        <w:t>Metodické centrum pro muzea výtvarného umění</w:t>
      </w:r>
      <w:r w:rsidR="00AD0759">
        <w:rPr>
          <w:rFonts w:cs="Arial"/>
          <w:b/>
          <w:sz w:val="24"/>
        </w:rPr>
        <w:t xml:space="preserve">, </w:t>
      </w:r>
      <w:r w:rsidRPr="00AD0759">
        <w:rPr>
          <w:rFonts w:cs="Arial"/>
          <w:b/>
          <w:sz w:val="24"/>
        </w:rPr>
        <w:t>Národní galerie Praha</w:t>
      </w:r>
      <w:r w:rsidR="00AD0759" w:rsidRPr="00AD0759">
        <w:rPr>
          <w:rFonts w:cs="Arial"/>
          <w:b/>
          <w:sz w:val="24"/>
        </w:rPr>
        <w:t xml:space="preserve"> ve spolupráci s MK – Samostatným oddělením ochrany kulturních statků</w:t>
      </w:r>
    </w:p>
    <w:p w:rsidR="00AD0759" w:rsidRPr="00AD0759" w:rsidRDefault="00AD0759" w:rsidP="00AD0759">
      <w:pPr>
        <w:pStyle w:val="Normlnweb"/>
        <w:rPr>
          <w:rFonts w:ascii="Arial Black" w:hAnsi="Arial Black" w:cs="Tahoma"/>
          <w:color w:val="000000"/>
          <w:sz w:val="22"/>
          <w:szCs w:val="20"/>
        </w:rPr>
      </w:pPr>
      <w:r w:rsidRPr="00AD0759">
        <w:rPr>
          <w:rFonts w:ascii="Arial Black" w:hAnsi="Arial Black"/>
          <w:b/>
          <w:bCs/>
          <w:color w:val="000000"/>
          <w:sz w:val="28"/>
        </w:rPr>
        <w:t>Nová evropská legislativa v oblasti ochrany kulturního dědictví</w:t>
      </w:r>
    </w:p>
    <w:p w:rsidR="00840A09" w:rsidRPr="0010690E" w:rsidRDefault="00840A09" w:rsidP="00840A09">
      <w:pPr>
        <w:spacing w:after="0"/>
        <w:rPr>
          <w:rFonts w:cs="Arial"/>
          <w:sz w:val="24"/>
        </w:rPr>
      </w:pPr>
      <w:r w:rsidRPr="0010690E">
        <w:rPr>
          <w:rFonts w:cs="Arial"/>
          <w:b/>
          <w:sz w:val="24"/>
        </w:rPr>
        <w:t>Kdy</w:t>
      </w:r>
      <w:r w:rsidRPr="0010690E">
        <w:rPr>
          <w:rFonts w:cs="Arial"/>
          <w:sz w:val="24"/>
        </w:rPr>
        <w:t>:</w:t>
      </w:r>
      <w:r w:rsidRPr="0010690E">
        <w:rPr>
          <w:rFonts w:cs="Arial"/>
          <w:sz w:val="24"/>
        </w:rPr>
        <w:tab/>
      </w:r>
      <w:r w:rsidR="00695523">
        <w:rPr>
          <w:rFonts w:cs="Arial"/>
          <w:sz w:val="24"/>
        </w:rPr>
        <w:t>2.</w:t>
      </w:r>
      <w:r w:rsidR="00AD0759">
        <w:rPr>
          <w:rFonts w:cs="Arial"/>
          <w:sz w:val="24"/>
        </w:rPr>
        <w:t xml:space="preserve"> 11</w:t>
      </w:r>
      <w:r w:rsidRPr="0010690E">
        <w:rPr>
          <w:rFonts w:cs="Arial"/>
          <w:sz w:val="24"/>
        </w:rPr>
        <w:t>. 202</w:t>
      </w:r>
      <w:r w:rsidR="00AD0759">
        <w:rPr>
          <w:rFonts w:cs="Arial"/>
          <w:sz w:val="24"/>
        </w:rPr>
        <w:t>1</w:t>
      </w:r>
      <w:r w:rsidRPr="0010690E">
        <w:rPr>
          <w:rFonts w:cs="Arial"/>
          <w:sz w:val="24"/>
        </w:rPr>
        <w:t xml:space="preserve"> od 10:00 </w:t>
      </w:r>
    </w:p>
    <w:p w:rsidR="00840A09" w:rsidRPr="0010690E" w:rsidRDefault="00840A09" w:rsidP="00AD0759">
      <w:pPr>
        <w:spacing w:after="0"/>
        <w:rPr>
          <w:rFonts w:cs="Arial"/>
          <w:sz w:val="24"/>
        </w:rPr>
      </w:pPr>
      <w:r w:rsidRPr="0010690E">
        <w:rPr>
          <w:rFonts w:cs="Arial"/>
          <w:b/>
          <w:sz w:val="24"/>
        </w:rPr>
        <w:t>Kde</w:t>
      </w:r>
      <w:r w:rsidRPr="0010690E">
        <w:rPr>
          <w:rFonts w:cs="Arial"/>
          <w:sz w:val="24"/>
        </w:rPr>
        <w:t xml:space="preserve">: </w:t>
      </w:r>
      <w:r w:rsidRPr="0010690E">
        <w:rPr>
          <w:rFonts w:cs="Arial"/>
          <w:sz w:val="24"/>
        </w:rPr>
        <w:tab/>
        <w:t>NGP, Auditorium Veletržního paláce, Dukelských Hrdinů 47, Praha 7</w:t>
      </w:r>
    </w:p>
    <w:p w:rsidR="00840A09" w:rsidRPr="0010690E" w:rsidRDefault="00840A09">
      <w:pPr>
        <w:rPr>
          <w:rFonts w:cs="Arial"/>
          <w:sz w:val="24"/>
        </w:rPr>
      </w:pPr>
      <w:r w:rsidRPr="0010690E">
        <w:rPr>
          <w:rFonts w:cs="Arial"/>
          <w:b/>
          <w:sz w:val="24"/>
        </w:rPr>
        <w:t>Cílová skupina</w:t>
      </w:r>
      <w:r w:rsidRPr="0010690E">
        <w:rPr>
          <w:rFonts w:cs="Arial"/>
          <w:sz w:val="24"/>
        </w:rPr>
        <w:t xml:space="preserve">: </w:t>
      </w:r>
      <w:r w:rsidR="00CB48B6">
        <w:rPr>
          <w:rFonts w:cs="Arial"/>
          <w:sz w:val="24"/>
        </w:rPr>
        <w:t xml:space="preserve">zřizovatelé muzeí a galerií, </w:t>
      </w:r>
      <w:r w:rsidR="00AD0759">
        <w:rPr>
          <w:rFonts w:cs="Arial"/>
          <w:sz w:val="24"/>
        </w:rPr>
        <w:t>management</w:t>
      </w:r>
      <w:r w:rsidRPr="0010690E">
        <w:rPr>
          <w:rFonts w:cs="Arial"/>
          <w:sz w:val="24"/>
        </w:rPr>
        <w:t> galerií a muzeí</w:t>
      </w:r>
      <w:r w:rsidR="00CB48B6">
        <w:rPr>
          <w:rFonts w:cs="Arial"/>
          <w:sz w:val="24"/>
        </w:rPr>
        <w:t xml:space="preserve">, </w:t>
      </w:r>
      <w:r w:rsidR="00CB48B6">
        <w:rPr>
          <w:rFonts w:cs="Arial"/>
          <w:sz w:val="24"/>
        </w:rPr>
        <w:t>registrátoři specialisté</w:t>
      </w:r>
    </w:p>
    <w:p w:rsidR="00840A09" w:rsidRDefault="00840A09">
      <w:pPr>
        <w:rPr>
          <w:rFonts w:cs="Arial"/>
          <w:sz w:val="24"/>
        </w:rPr>
      </w:pPr>
      <w:r w:rsidRPr="0010690E">
        <w:rPr>
          <w:rFonts w:cs="Arial"/>
          <w:b/>
          <w:sz w:val="24"/>
        </w:rPr>
        <w:t>Anotace</w:t>
      </w:r>
      <w:r w:rsidRPr="0010690E">
        <w:rPr>
          <w:rFonts w:cs="Arial"/>
          <w:sz w:val="24"/>
        </w:rPr>
        <w:t>:</w:t>
      </w:r>
    </w:p>
    <w:p w:rsidR="00AD0759" w:rsidRPr="00AD0759" w:rsidRDefault="0010690E" w:rsidP="00AD0759">
      <w:r w:rsidRPr="00AD0759">
        <w:rPr>
          <w:rFonts w:cs="Arial"/>
        </w:rPr>
        <w:t xml:space="preserve">Seminář </w:t>
      </w:r>
      <w:r w:rsidR="00AD0759">
        <w:rPr>
          <w:rFonts w:cs="Arial"/>
        </w:rPr>
        <w:t>vedený pracovníky</w:t>
      </w:r>
      <w:r w:rsidR="00AD0759" w:rsidRPr="00AD0759">
        <w:rPr>
          <w:rFonts w:cs="Arial"/>
          <w:sz w:val="24"/>
        </w:rPr>
        <w:t xml:space="preserve"> </w:t>
      </w:r>
      <w:r w:rsidR="00AD0759" w:rsidRPr="00AD0759">
        <w:t>Samostatn</w:t>
      </w:r>
      <w:r w:rsidR="00AD0759">
        <w:t>ého</w:t>
      </w:r>
      <w:r w:rsidR="00AD0759" w:rsidRPr="00AD0759">
        <w:t xml:space="preserve"> oddělení ochrany kulturních statků </w:t>
      </w:r>
      <w:r w:rsidR="00710398">
        <w:t xml:space="preserve">MK </w:t>
      </w:r>
      <w:r w:rsidR="00AD0759" w:rsidRPr="00AD0759">
        <w:t xml:space="preserve">je další z akcí </w:t>
      </w:r>
      <w:r w:rsidR="00AD0759">
        <w:t xml:space="preserve">metodického centra </w:t>
      </w:r>
      <w:r w:rsidR="00AD0759" w:rsidRPr="00AD0759">
        <w:t xml:space="preserve">v tematickém cyklu k mobilitě sbírek. </w:t>
      </w:r>
      <w:r w:rsidR="00AD0759">
        <w:t>L</w:t>
      </w:r>
      <w:r w:rsidR="00AD0759" w:rsidRPr="00AD0759">
        <w:t>e</w:t>
      </w:r>
      <w:r w:rsidR="00AD0759">
        <w:t>tošní</w:t>
      </w:r>
      <w:r w:rsidR="00AD0759" w:rsidRPr="00AD0759">
        <w:t xml:space="preserve"> seminář je </w:t>
      </w:r>
      <w:r w:rsidR="00AD0759">
        <w:t xml:space="preserve">zaměřen na </w:t>
      </w:r>
      <w:r w:rsidR="00AD0759" w:rsidRPr="00AD0759">
        <w:t>nov</w:t>
      </w:r>
      <w:r w:rsidR="00AD0759">
        <w:t>ou</w:t>
      </w:r>
      <w:r w:rsidR="00AD0759" w:rsidRPr="00AD0759">
        <w:t xml:space="preserve"> evropsk</w:t>
      </w:r>
      <w:r w:rsidR="00AD0759">
        <w:t>ou</w:t>
      </w:r>
      <w:r w:rsidR="00AD0759" w:rsidRPr="00AD0759">
        <w:t xml:space="preserve"> legislativ</w:t>
      </w:r>
      <w:r w:rsidR="00AD0759">
        <w:t>u</w:t>
      </w:r>
      <w:r w:rsidR="00AD0759" w:rsidRPr="00AD0759">
        <w:t xml:space="preserve"> v oblasti ochrany kulturního dědictví a její dopady na naše muzejnictví.</w:t>
      </w:r>
    </w:p>
    <w:p w:rsidR="00AD0759" w:rsidRPr="00AD0759" w:rsidRDefault="00AD0759" w:rsidP="00AD0759">
      <w:r w:rsidRPr="00AD0759">
        <w:t xml:space="preserve">Program </w:t>
      </w:r>
      <w:r w:rsidR="00710398">
        <w:t>je</w:t>
      </w:r>
      <w:r w:rsidRPr="00AD0759">
        <w:t xml:space="preserve"> koncipován do dvou bloků:</w:t>
      </w:r>
    </w:p>
    <w:p w:rsidR="00AD0759" w:rsidRPr="00AD0759" w:rsidRDefault="00AD0759" w:rsidP="00AD0759">
      <w:pPr>
        <w:rPr>
          <w:b/>
        </w:rPr>
      </w:pPr>
      <w:r w:rsidRPr="00AD0759">
        <w:rPr>
          <w:b/>
        </w:rPr>
        <w:t>I)    Přehled opatření přijatých na úrovni EU v oblasti ochrany kulturního dědictví s akcentem na mobilitu kulturních statků</w:t>
      </w:r>
    </w:p>
    <w:p w:rsidR="00AD0759" w:rsidRPr="00AD0759" w:rsidRDefault="00AD0759" w:rsidP="00AD0759">
      <w:pPr>
        <w:pStyle w:val="Odstavecseseznamem"/>
        <w:numPr>
          <w:ilvl w:val="0"/>
          <w:numId w:val="4"/>
        </w:numPr>
      </w:pPr>
      <w:r w:rsidRPr="00AD0759">
        <w:t>Stávající národní recepce opatření vycházejících z Úmluvy o opatřeních k zákazu a zamezení nedovoleného dovozu, vývozu a převodu vlastnictví kulturních statků (UNESCO 1970)</w:t>
      </w:r>
    </w:p>
    <w:p w:rsidR="00AD0759" w:rsidRPr="00AD0759" w:rsidRDefault="00AD0759" w:rsidP="00AD0759">
      <w:pPr>
        <w:pStyle w:val="Odstavecseseznamem"/>
        <w:numPr>
          <w:ilvl w:val="0"/>
          <w:numId w:val="4"/>
        </w:numPr>
      </w:pPr>
      <w:r w:rsidRPr="00AD0759">
        <w:t>Východiska a cíle Nařízení Evropského parlamentu a Rady (EU) 2019/880 ze dne 17. dubna 2019 o vstupu a dovozu kulturních statků</w:t>
      </w:r>
    </w:p>
    <w:p w:rsidR="00AD0759" w:rsidRPr="00AD0759" w:rsidRDefault="00AD0759" w:rsidP="00AD0759">
      <w:pPr>
        <w:pStyle w:val="Odstavecseseznamem"/>
        <w:numPr>
          <w:ilvl w:val="0"/>
          <w:numId w:val="4"/>
        </w:numPr>
      </w:pPr>
      <w:r w:rsidRPr="00AD0759">
        <w:t>Dopady jednotlivých ustanovení Nařízení Evropského parlamentu a Rady (EU) 2019/880 na mobilitu kulturních statků</w:t>
      </w:r>
    </w:p>
    <w:p w:rsidR="00AD0759" w:rsidRPr="00AD0759" w:rsidRDefault="00AD0759" w:rsidP="00AD0759">
      <w:pPr>
        <w:pStyle w:val="Odstavecseseznamem"/>
        <w:numPr>
          <w:ilvl w:val="0"/>
          <w:numId w:val="4"/>
        </w:numPr>
      </w:pPr>
      <w:r w:rsidRPr="00AD0759">
        <w:t>Navrhované způsoby adaptace národního právního řádu</w:t>
      </w:r>
    </w:p>
    <w:p w:rsidR="00AD0759" w:rsidRPr="00AD0759" w:rsidRDefault="00AD0759" w:rsidP="00AD0759">
      <w:pPr>
        <w:rPr>
          <w:b/>
        </w:rPr>
      </w:pPr>
      <w:r w:rsidRPr="00AD0759">
        <w:rPr>
          <w:b/>
        </w:rPr>
        <w:t>II)     Praktické dopady opatření přijatých na úrovni EU na oblast muzejnictví</w:t>
      </w:r>
    </w:p>
    <w:p w:rsidR="00AD0759" w:rsidRPr="00AD0759" w:rsidRDefault="00AD0759" w:rsidP="00AD0759">
      <w:pPr>
        <w:pStyle w:val="Odstavecseseznamem"/>
        <w:numPr>
          <w:ilvl w:val="0"/>
          <w:numId w:val="5"/>
        </w:numPr>
      </w:pPr>
      <w:r w:rsidRPr="00AD0759">
        <w:t>Příprava Prováděcího nařízení Komise (EU) 2021/1079 ze dne 24. června 2021, kterým se stanoví prováděcí pravidla k některým ustanovením nařízení Evropského parlamentu a Rady (EU) 2019/880 o vstupu a dovozu kulturních statků</w:t>
      </w:r>
    </w:p>
    <w:p w:rsidR="00AD0759" w:rsidRPr="00AD0759" w:rsidRDefault="00AD0759" w:rsidP="00AD0759">
      <w:pPr>
        <w:pStyle w:val="Odstavecseseznamem"/>
        <w:numPr>
          <w:ilvl w:val="0"/>
          <w:numId w:val="5"/>
        </w:numPr>
      </w:pPr>
      <w:r w:rsidRPr="00AD0759">
        <w:t>Bezpečná úložiště a výjimky z povinnosti dovozních licencí</w:t>
      </w:r>
    </w:p>
    <w:p w:rsidR="00AD0759" w:rsidRPr="00AD0759" w:rsidRDefault="00AD0759" w:rsidP="00AD0759">
      <w:pPr>
        <w:pStyle w:val="Odstavecseseznamem"/>
        <w:numPr>
          <w:ilvl w:val="0"/>
          <w:numId w:val="5"/>
        </w:numPr>
      </w:pPr>
      <w:r w:rsidRPr="00AD0759">
        <w:t>Nezbytná dokumentace a vydávání dovozních licencí</w:t>
      </w:r>
    </w:p>
    <w:p w:rsidR="00AD0759" w:rsidRPr="00AD0759" w:rsidRDefault="00AD0759" w:rsidP="00AD0759">
      <w:pPr>
        <w:pStyle w:val="Odstavecseseznamem"/>
        <w:numPr>
          <w:ilvl w:val="0"/>
          <w:numId w:val="5"/>
        </w:numPr>
      </w:pPr>
      <w:r w:rsidRPr="00AD0759">
        <w:t>Elektronické databáze</w:t>
      </w:r>
    </w:p>
    <w:p w:rsidR="00AD0759" w:rsidRPr="00AD0759" w:rsidRDefault="00AD0759" w:rsidP="00AD0759">
      <w:pPr>
        <w:pStyle w:val="Odstavecseseznamem"/>
        <w:numPr>
          <w:ilvl w:val="0"/>
          <w:numId w:val="5"/>
        </w:numPr>
      </w:pPr>
      <w:r w:rsidRPr="00AD0759">
        <w:t>Česká muzea a muzea umění od účinnosti Prováděcího nařízení Komise (EU) 2021/1079</w:t>
      </w:r>
    </w:p>
    <w:p w:rsidR="00840A09" w:rsidRPr="00840A09" w:rsidRDefault="007C707D">
      <w:pPr>
        <w:rPr>
          <w:rFonts w:ascii="Tahoma" w:hAnsi="Tahoma" w:cs="Tahoma"/>
          <w:sz w:val="24"/>
        </w:rPr>
      </w:pPr>
      <w:r w:rsidRPr="00AD0759">
        <w:t>Předpokládan</w:t>
      </w:r>
      <w:r w:rsidR="000C21BD" w:rsidRPr="00AD0759">
        <w:t>á</w:t>
      </w:r>
      <w:r w:rsidRPr="00AD0759">
        <w:t xml:space="preserve"> </w:t>
      </w:r>
      <w:r w:rsidR="000C21BD" w:rsidRPr="00AD0759">
        <w:t>kapacita semináře je</w:t>
      </w:r>
      <w:r w:rsidRPr="00AD0759">
        <w:t xml:space="preserve"> </w:t>
      </w:r>
      <w:r w:rsidR="000C21BD" w:rsidRPr="00AD0759">
        <w:t xml:space="preserve">50 </w:t>
      </w:r>
      <w:r w:rsidRPr="00AD0759">
        <w:t>účastníků</w:t>
      </w:r>
      <w:r w:rsidR="00695523" w:rsidRPr="00AD0759">
        <w:t xml:space="preserve"> (nebo podle aktuální epidemiologické situace), rozhodovat bude datum přijetí přihlášky</w:t>
      </w:r>
      <w:r w:rsidR="000C21BD" w:rsidRPr="00AD0759">
        <w:t>.</w:t>
      </w:r>
      <w:r w:rsidRPr="00AD0759">
        <w:t xml:space="preserve"> </w:t>
      </w:r>
      <w:r w:rsidR="000C21BD" w:rsidRPr="00AD0759">
        <w:t>R</w:t>
      </w:r>
      <w:r w:rsidRPr="00AD0759">
        <w:t xml:space="preserve">egistrace na seminář bude </w:t>
      </w:r>
      <w:r w:rsidR="00695523" w:rsidRPr="00AD0759">
        <w:t xml:space="preserve">otevřena do </w:t>
      </w:r>
      <w:r w:rsidR="00AD0759" w:rsidRPr="00AD0759">
        <w:t>2</w:t>
      </w:r>
      <w:r w:rsidR="00695523" w:rsidRPr="00AD0759">
        <w:t xml:space="preserve">5. </w:t>
      </w:r>
      <w:r w:rsidR="00AD0759" w:rsidRPr="00AD0759">
        <w:t>10</w:t>
      </w:r>
      <w:r w:rsidR="00695523" w:rsidRPr="00AD0759">
        <w:t xml:space="preserve">. 2021. Zájemci mohou své přihlášky na přiloženém formuláři zasílat e-mailem na adresu </w:t>
      </w:r>
      <w:hyperlink r:id="rId6" w:history="1">
        <w:r w:rsidR="00695523" w:rsidRPr="00AD0759">
          <w:rPr>
            <w:rStyle w:val="Hypertextovodkaz"/>
          </w:rPr>
          <w:t>dagmar.jelinkova@ngprague.cz</w:t>
        </w:r>
      </w:hyperlink>
      <w:r w:rsidR="00695523" w:rsidRPr="00AD0759">
        <w:t xml:space="preserve">. </w:t>
      </w:r>
      <w:bookmarkStart w:id="0" w:name="_GoBack"/>
      <w:bookmarkEnd w:id="0"/>
    </w:p>
    <w:sectPr w:rsidR="00840A09" w:rsidRPr="00840A09" w:rsidSect="00840A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C25"/>
    <w:multiLevelType w:val="hybridMultilevel"/>
    <w:tmpl w:val="B95CA796"/>
    <w:lvl w:ilvl="0" w:tplc="766452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435"/>
    <w:multiLevelType w:val="hybridMultilevel"/>
    <w:tmpl w:val="164CC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63E8"/>
    <w:multiLevelType w:val="hybridMultilevel"/>
    <w:tmpl w:val="339A0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A2844"/>
    <w:multiLevelType w:val="hybridMultilevel"/>
    <w:tmpl w:val="CDB40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97159"/>
    <w:multiLevelType w:val="hybridMultilevel"/>
    <w:tmpl w:val="0AD4A188"/>
    <w:lvl w:ilvl="0" w:tplc="766452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09"/>
    <w:rsid w:val="000C21BD"/>
    <w:rsid w:val="000F1772"/>
    <w:rsid w:val="0010690E"/>
    <w:rsid w:val="00596EA4"/>
    <w:rsid w:val="00695523"/>
    <w:rsid w:val="00710398"/>
    <w:rsid w:val="0071501F"/>
    <w:rsid w:val="007546AA"/>
    <w:rsid w:val="007C707D"/>
    <w:rsid w:val="00840A09"/>
    <w:rsid w:val="00AD0759"/>
    <w:rsid w:val="00CB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FA54"/>
  <w15:chartTrackingRefBased/>
  <w15:docId w15:val="{29EF22D2-20AF-44D4-9844-36363637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77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F1772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77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1772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772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0F177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1772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0F1772"/>
    <w:pPr>
      <w:spacing w:after="0" w:line="240" w:lineRule="auto"/>
    </w:pPr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17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F1772"/>
    <w:rPr>
      <w:rFonts w:ascii="Arial" w:eastAsiaTheme="minorEastAsia" w:hAnsi="Arial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0F177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F1772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0F1772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0F1772"/>
    <w:rPr>
      <w:rFonts w:ascii="Arial" w:hAnsi="Arial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0F177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1772"/>
    <w:rPr>
      <w:rFonts w:ascii="Arial" w:hAnsi="Arial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177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1772"/>
    <w:rPr>
      <w:rFonts w:ascii="Arial" w:hAnsi="Arial"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0F1772"/>
    <w:rPr>
      <w:rFonts w:ascii="Arial" w:hAnsi="Arial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0F1772"/>
    <w:rPr>
      <w:rFonts w:ascii="Arial" w:hAnsi="Arial"/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0F1772"/>
    <w:rPr>
      <w:rFonts w:ascii="Arial" w:hAnsi="Arial"/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0F17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21B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D07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mar.jelinkova@ngpragu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Jelínková</dc:creator>
  <cp:keywords/>
  <dc:description/>
  <cp:lastModifiedBy>Dagmar Jelínková</cp:lastModifiedBy>
  <cp:revision>4</cp:revision>
  <dcterms:created xsi:type="dcterms:W3CDTF">2021-09-29T11:53:00Z</dcterms:created>
  <dcterms:modified xsi:type="dcterms:W3CDTF">2021-09-29T11:57:00Z</dcterms:modified>
</cp:coreProperties>
</file>